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8726A">
      <w:pPr>
        <w:spacing w:line="60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 w14:paraId="1897659B">
      <w:pPr>
        <w:adjustRightInd w:val="0"/>
        <w:snapToGrid w:val="0"/>
        <w:spacing w:line="60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作品推荐表</w:t>
      </w:r>
    </w:p>
    <w:p w14:paraId="0B7F4AA0">
      <w:pPr>
        <w:adjustRightInd w:val="0"/>
        <w:snapToGrid w:val="0"/>
        <w:spacing w:line="60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</w:p>
    <w:tbl>
      <w:tblPr>
        <w:tblStyle w:val="14"/>
        <w:tblpPr w:leftFromText="180" w:rightFromText="180" w:vertAnchor="text" w:tblpX="-459" w:tblpY="1"/>
        <w:tblOverlap w:val="never"/>
        <w:tblW w:w="10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0"/>
        <w:gridCol w:w="1387"/>
        <w:gridCol w:w="176"/>
        <w:gridCol w:w="709"/>
        <w:gridCol w:w="533"/>
        <w:gridCol w:w="34"/>
        <w:gridCol w:w="1275"/>
        <w:gridCol w:w="33"/>
        <w:gridCol w:w="501"/>
        <w:gridCol w:w="989"/>
        <w:gridCol w:w="428"/>
        <w:gridCol w:w="743"/>
        <w:gridCol w:w="236"/>
        <w:gridCol w:w="1609"/>
      </w:tblGrid>
      <w:tr w14:paraId="7BFE5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exact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823D3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作品标题</w:t>
            </w:r>
          </w:p>
        </w:tc>
        <w:tc>
          <w:tcPr>
            <w:tcW w:w="4678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50776">
            <w:pPr>
              <w:adjustRightInd w:val="0"/>
              <w:snapToGrid w:val="0"/>
              <w:spacing w:line="260" w:lineRule="exact"/>
              <w:contextualSpacing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预付式消费是“实惠”还是“陷阱”</w:t>
            </w:r>
          </w:p>
          <w:p w14:paraId="5CE85A13">
            <w:pPr>
              <w:adjustRightInd w:val="0"/>
              <w:snapToGrid w:val="0"/>
              <w:spacing w:line="260" w:lineRule="exact"/>
              <w:contextualSpacing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</w:p>
          <w:p w14:paraId="37257F0D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4D074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项目</w:t>
            </w:r>
          </w:p>
        </w:tc>
        <w:tc>
          <w:tcPr>
            <w:tcW w:w="2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B8323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方正仿宋简体"/>
                <w:sz w:val="22"/>
                <w:szCs w:val="20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舆论监督报道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（报纸）</w:t>
            </w:r>
          </w:p>
        </w:tc>
      </w:tr>
      <w:tr w14:paraId="37B21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1301F">
            <w:pPr>
              <w:widowControl/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</w:p>
        </w:tc>
        <w:tc>
          <w:tcPr>
            <w:tcW w:w="467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703A6">
            <w:pPr>
              <w:widowControl/>
              <w:adjustRightInd w:val="0"/>
              <w:snapToGrid w:val="0"/>
              <w:spacing w:line="260" w:lineRule="exact"/>
              <w:contextualSpacing/>
              <w:jc w:val="left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B8915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体裁</w:t>
            </w:r>
          </w:p>
          <w:p w14:paraId="42F6436C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（类别）</w:t>
            </w:r>
          </w:p>
        </w:tc>
        <w:tc>
          <w:tcPr>
            <w:tcW w:w="25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A0BFF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hint="eastAsia" w:ascii="Times New Roman" w:hAnsi="Times New Roman" w:eastAsia="方正仿宋简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通讯</w:t>
            </w:r>
          </w:p>
        </w:tc>
      </w:tr>
      <w:tr w14:paraId="31CBC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4" w:hRule="exact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2D6E2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字数/时长</w:t>
            </w:r>
          </w:p>
        </w:tc>
        <w:tc>
          <w:tcPr>
            <w:tcW w:w="4678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2832D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hint="eastAsia" w:ascii="Times New Roman" w:hAnsi="Times New Roman" w:eastAsia="方正仿宋简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3557字</w:t>
            </w:r>
          </w:p>
        </w:tc>
        <w:tc>
          <w:tcPr>
            <w:tcW w:w="14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7EEB9">
            <w:pPr>
              <w:widowControl/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</w:p>
        </w:tc>
        <w:tc>
          <w:tcPr>
            <w:tcW w:w="25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717BA">
            <w:pPr>
              <w:widowControl/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方正仿宋简体"/>
                <w:sz w:val="18"/>
                <w:szCs w:val="18"/>
              </w:rPr>
            </w:pPr>
          </w:p>
        </w:tc>
      </w:tr>
      <w:tr w14:paraId="56D7C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AB0F8">
            <w:pPr>
              <w:widowControl/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</w:p>
        </w:tc>
        <w:tc>
          <w:tcPr>
            <w:tcW w:w="467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A96CC">
            <w:pPr>
              <w:widowControl/>
              <w:adjustRightInd w:val="0"/>
              <w:snapToGrid w:val="0"/>
              <w:spacing w:line="260" w:lineRule="exact"/>
              <w:contextualSpacing/>
              <w:jc w:val="left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1C3BB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语种</w:t>
            </w:r>
          </w:p>
        </w:tc>
        <w:tc>
          <w:tcPr>
            <w:tcW w:w="2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4FC7D">
            <w:pPr>
              <w:adjustRightInd w:val="0"/>
              <w:snapToGrid w:val="0"/>
              <w:spacing w:line="260" w:lineRule="exact"/>
              <w:contextualSpacing/>
              <w:jc w:val="both"/>
              <w:rPr>
                <w:rFonts w:hint="eastAsia" w:ascii="Times New Roman" w:hAnsi="Times New Roman" w:eastAsia="方正仿宋简体"/>
                <w:sz w:val="18"/>
                <w:szCs w:val="18"/>
                <w:lang w:val="en-US" w:eastAsia="zh-CN"/>
              </w:rPr>
            </w:pPr>
          </w:p>
        </w:tc>
      </w:tr>
      <w:tr w14:paraId="2C2D1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058D9">
            <w:pPr>
              <w:adjustRightInd w:val="0"/>
              <w:snapToGrid w:val="0"/>
              <w:spacing w:line="32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pacing w:val="-12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12"/>
                <w:sz w:val="28"/>
              </w:rPr>
              <w:t>作  者</w:t>
            </w:r>
          </w:p>
          <w:p w14:paraId="59B93C65">
            <w:pPr>
              <w:adjustRightInd w:val="0"/>
              <w:snapToGrid w:val="0"/>
              <w:spacing w:line="32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pacing w:val="-12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12"/>
              </w:rPr>
              <w:t>（主创人员）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FC8F">
            <w:pPr>
              <w:adjustRightInd w:val="0"/>
              <w:snapToGrid w:val="0"/>
              <w:spacing w:line="320" w:lineRule="exact"/>
              <w:contextualSpacing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  <w:szCs w:val="24"/>
                <w:lang w:val="en-US" w:eastAsia="zh-CN"/>
              </w:rPr>
              <w:t>雷尔佳佳、杨承鑫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28F8E">
            <w:pPr>
              <w:adjustRightInd w:val="0"/>
              <w:snapToGrid w:val="0"/>
              <w:spacing w:line="32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编辑</w:t>
            </w:r>
          </w:p>
        </w:tc>
        <w:tc>
          <w:tcPr>
            <w:tcW w:w="40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71CA1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hint="default" w:ascii="Times New Roman" w:hAnsi="Times New Roman" w:eastAsia="方正仿宋简体"/>
                <w:w w:val="95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  <w:szCs w:val="24"/>
                <w:lang w:val="en-US" w:eastAsia="zh-CN"/>
              </w:rPr>
              <w:t>雷尔佳佳</w:t>
            </w:r>
          </w:p>
        </w:tc>
      </w:tr>
      <w:tr w14:paraId="753A4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36732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原创单位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DD79D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方正仿宋简体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  <w:szCs w:val="24"/>
                <w:lang w:val="en-US" w:eastAsia="zh-CN"/>
              </w:rPr>
              <w:t>普洱市融媒体中心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9A8BD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发布</w:t>
            </w:r>
            <w:r>
              <w:rPr>
                <w:rFonts w:hint="eastAsia" w:ascii="方正黑体简体" w:hAnsi="方正黑体简体" w:eastAsia="方正黑体简体" w:cs="方正黑体简体"/>
                <w:sz w:val="28"/>
                <w:shd w:val="clear" w:color="auto" w:fill="FFFFFF"/>
              </w:rPr>
              <w:t>端</w:t>
            </w: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/账号/媒体名称</w:t>
            </w:r>
          </w:p>
        </w:tc>
        <w:tc>
          <w:tcPr>
            <w:tcW w:w="40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DEF38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hint="eastAsia" w:ascii="Times New Roman" w:hAnsi="Times New Roman" w:eastAsia="方正仿宋简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普洱日报</w:t>
            </w:r>
          </w:p>
        </w:tc>
      </w:tr>
      <w:tr w14:paraId="4AE73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exac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5AC94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刊播版面</w:t>
            </w:r>
          </w:p>
          <w:p w14:paraId="6E3293F0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12"/>
              </w:rPr>
              <w:t>（名称和版次）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E69D2">
            <w:pPr>
              <w:adjustRightInd w:val="0"/>
              <w:snapToGrid w:val="0"/>
              <w:spacing w:line="260" w:lineRule="exact"/>
              <w:contextualSpacing/>
              <w:rPr>
                <w:rFonts w:hint="default" w:ascii="Times New Roman" w:hAnsi="Times New Roman" w:eastAsia="方正仿宋简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  <w:szCs w:val="24"/>
                <w:lang w:val="en-US" w:eastAsia="zh-CN"/>
              </w:rPr>
              <w:t>3版</w:t>
            </w:r>
          </w:p>
          <w:p w14:paraId="6213716A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31B87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刊播日期</w:t>
            </w:r>
          </w:p>
        </w:tc>
        <w:tc>
          <w:tcPr>
            <w:tcW w:w="40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6A1B8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方正仿宋简体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  <w:szCs w:val="24"/>
                <w:lang w:val="en-US" w:eastAsia="zh-CN"/>
              </w:rPr>
              <w:t>2025年3月14日</w:t>
            </w:r>
          </w:p>
        </w:tc>
      </w:tr>
      <w:tr w14:paraId="4E3D8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exact"/>
        </w:trPr>
        <w:tc>
          <w:tcPr>
            <w:tcW w:w="2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54B99">
            <w:pPr>
              <w:adjustRightInd w:val="0"/>
              <w:snapToGrid w:val="0"/>
              <w:spacing w:line="600" w:lineRule="exact"/>
              <w:contextualSpacing/>
              <w:rPr>
                <w:rFonts w:ascii="方正黑体简体" w:hAnsi="方正黑体简体" w:eastAsia="方正黑体简体" w:cs="方正黑体简体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6"/>
                <w:w w:val="90"/>
                <w:sz w:val="28"/>
                <w:szCs w:val="28"/>
              </w:rPr>
              <w:t>新媒体作品链接和二维码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00E0C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32"/>
                <w:szCs w:val="21"/>
              </w:rPr>
            </w:pPr>
          </w:p>
        </w:tc>
      </w:tr>
      <w:tr w14:paraId="1E862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exact"/>
        </w:trPr>
        <w:tc>
          <w:tcPr>
            <w:tcW w:w="2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C94EE">
            <w:pPr>
              <w:adjustRightInd w:val="0"/>
              <w:snapToGrid w:val="0"/>
              <w:spacing w:line="340" w:lineRule="exact"/>
              <w:contextualSpacing/>
              <w:rPr>
                <w:rFonts w:ascii="方正黑体简体" w:hAnsi="方正黑体简体" w:eastAsia="方正黑体简体" w:cs="方正黑体简体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6"/>
                <w:w w:val="90"/>
                <w:sz w:val="28"/>
                <w:szCs w:val="28"/>
              </w:rPr>
              <w:t>是否为“三好作品”</w:t>
            </w:r>
          </w:p>
        </w:tc>
        <w:tc>
          <w:tcPr>
            <w:tcW w:w="27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40893">
            <w:pPr>
              <w:adjustRightInd w:val="0"/>
              <w:snapToGrid w:val="0"/>
              <w:spacing w:line="260" w:lineRule="exact"/>
              <w:contextualSpacing/>
              <w:rPr>
                <w:rFonts w:hint="eastAsia" w:ascii="Times New Roman" w:hAnsi="Times New Roman" w:eastAsia="方正仿宋简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否</w:t>
            </w: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A8974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华文中宋" w:hAnsi="华文中宋" w:eastAsia="华文中宋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6"/>
                <w:w w:val="90"/>
                <w:sz w:val="28"/>
                <w:szCs w:val="28"/>
              </w:rPr>
              <w:t>是否为“我的代表作”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F90BD">
            <w:pPr>
              <w:adjustRightInd w:val="0"/>
              <w:snapToGrid w:val="0"/>
              <w:spacing w:line="260" w:lineRule="exact"/>
              <w:contextualSpacing/>
              <w:rPr>
                <w:rFonts w:hint="eastAsia" w:ascii="Times New Roman" w:hAnsi="Times New Roman" w:eastAsia="方正仿宋简体"/>
                <w:sz w:val="32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sz w:val="32"/>
                <w:szCs w:val="21"/>
                <w:lang w:eastAsia="zh-CN"/>
              </w:rPr>
              <w:t>否</w:t>
            </w:r>
          </w:p>
        </w:tc>
      </w:tr>
      <w:tr w14:paraId="120C4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</w:trPr>
        <w:tc>
          <w:tcPr>
            <w:tcW w:w="2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621F6">
            <w:pPr>
              <w:adjustRightInd w:val="0"/>
              <w:snapToGrid w:val="0"/>
              <w:spacing w:line="600" w:lineRule="exact"/>
              <w:contextualSpacing/>
              <w:rPr>
                <w:rFonts w:ascii="方正黑体简体" w:hAnsi="方正黑体简体" w:eastAsia="方正黑体简体" w:cs="方正黑体简体"/>
                <w:w w:val="95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w w:val="95"/>
                <w:sz w:val="28"/>
                <w:szCs w:val="28"/>
              </w:rPr>
              <w:t>所配合文字报道的标题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654D6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18"/>
                <w:szCs w:val="18"/>
              </w:rPr>
            </w:pPr>
          </w:p>
        </w:tc>
      </w:tr>
      <w:tr w14:paraId="2215E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5" w:hRule="atLeast"/>
        </w:trPr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tbRlV"/>
            <w:vAlign w:val="center"/>
          </w:tcPr>
          <w:p w14:paraId="051CB82B">
            <w:pPr>
              <w:adjustRightInd w:val="0"/>
              <w:snapToGrid w:val="0"/>
              <w:spacing w:line="360" w:lineRule="exact"/>
              <w:ind w:left="113" w:right="113"/>
              <w:contextualSpacing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采编过程（作品简介）</w:t>
            </w:r>
          </w:p>
        </w:tc>
        <w:tc>
          <w:tcPr>
            <w:tcW w:w="8653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5AA08EC4">
            <w:pPr>
              <w:pStyle w:val="12"/>
              <w:keepNext w:val="0"/>
              <w:keepLines w:val="0"/>
              <w:widowControl/>
              <w:suppressLineNumbers w:val="0"/>
              <w:shd w:val="clear" w:fill="FFFFFF"/>
              <w:spacing w:before="60" w:beforeAutospacing="0" w:after="60" w:afterAutospacing="0" w:line="220" w:lineRule="atLeast"/>
              <w:ind w:left="0" w:right="0" w:firstLine="420"/>
              <w:jc w:val="left"/>
              <w:rPr>
                <w:rFonts w:hint="eastAsia" w:ascii="Times New Roman" w:hAnsi="Times New Roman" w:eastAsia="方正仿宋简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kern w:val="2"/>
                <w:sz w:val="21"/>
                <w:szCs w:val="21"/>
                <w:lang w:val="en-US" w:eastAsia="zh-CN" w:bidi="ar-SA"/>
              </w:rPr>
              <w:t>预付式消费是一个老生常谈的问题，针对此类纠纷，由于资金、技术等原因，消费者维权难问题突出，亟需通过报道厘清问题、规避风险。适逢“3·15”，聚焦群众关切的预付式消费纠纷痛点，回应社会诉求，策划了此次深度报道。</w:t>
            </w:r>
          </w:p>
          <w:p w14:paraId="081C084D">
            <w:pPr>
              <w:pStyle w:val="12"/>
              <w:keepNext w:val="0"/>
              <w:keepLines w:val="0"/>
              <w:widowControl/>
              <w:suppressLineNumbers w:val="0"/>
              <w:shd w:val="clear" w:fill="FFFFFF"/>
              <w:spacing w:before="60" w:beforeAutospacing="0" w:after="60" w:afterAutospacing="0" w:line="220" w:lineRule="atLeast"/>
              <w:ind w:left="0" w:right="0" w:firstLine="420"/>
              <w:jc w:val="left"/>
              <w:rPr>
                <w:rFonts w:ascii="Times New Roman" w:hAnsi="Times New Roman" w:eastAsia="仿宋"/>
                <w:w w:val="95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简体" w:cs="Times New Roman"/>
                <w:kern w:val="2"/>
                <w:sz w:val="21"/>
                <w:szCs w:val="21"/>
                <w:lang w:val="en-US" w:eastAsia="zh-CN" w:bidi="ar-SA"/>
              </w:rPr>
              <w:t>记者坚持真实、权威原则，前期摸底调研、暗访取证，收集有效线索与案例；中期，专访普洱市中级人民法院、思茅区市场监督管理综合行政执法大队工作人员、律师等，多方求证，核实细节与法律条文；后期，梳理素材、优化结构，兼顾专业性与可读性，反复打磨稿件，以期聚焦民生痛点，通过报道揭露乱象、传递维权知识，推动监管完善，切实维护消费者权益，践行新闻工作服务人民、服务社会的使命。</w:t>
            </w:r>
          </w:p>
        </w:tc>
      </w:tr>
      <w:tr w14:paraId="6BCA3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8" w:hRule="exact"/>
        </w:trPr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AE17F57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社</w:t>
            </w:r>
          </w:p>
          <w:p w14:paraId="3513EB27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会</w:t>
            </w:r>
          </w:p>
          <w:p w14:paraId="11EBAF9A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效</w:t>
            </w:r>
          </w:p>
          <w:p w14:paraId="1AAC5C89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果</w:t>
            </w:r>
          </w:p>
        </w:tc>
        <w:tc>
          <w:tcPr>
            <w:tcW w:w="8653" w:type="dxa"/>
            <w:gridSpan w:val="13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5C50C2CA"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  <w:t>本篇报道通过暗访、典型案例、专业解读、田野调查，全面呈现普洱市中心城区预付式消费现状，为市场监管提供有力警示。报道社会效果显著，刊发后获得读者广泛认可，不少读者反馈深受启发，对自身权益保护有了更专业的认知，有效提升了群众预付消费风险防范意识和维权能力。</w:t>
            </w:r>
          </w:p>
          <w:p w14:paraId="19218164"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  <w:t>尤为关键的是，报道刊发当日，恰逢最高院出台预付式消费民事纠纷案件司法解释，实现基层调查与中央部署同频共振，既及时传递顶层设计精神，也为本地市场监管部门优化监管举措、化解消费纠纷提供实践参考，助力规范区域预付式消费市场秩序，切实守护消费者合法权益，彰显了新闻报道服务民生、引导社会的重要价值。</w:t>
            </w:r>
          </w:p>
          <w:p w14:paraId="5AA86DCC">
            <w:pPr>
              <w:adjustRightInd w:val="0"/>
              <w:snapToGrid w:val="0"/>
              <w:spacing w:line="260" w:lineRule="exact"/>
              <w:contextualSpacing/>
              <w:rPr>
                <w:rFonts w:hint="default" w:ascii="Times New Roman" w:hAnsi="Times New Roman" w:eastAsia="仿宋"/>
                <w:sz w:val="21"/>
                <w:szCs w:val="21"/>
                <w:lang w:val="en-US" w:eastAsia="zh-CN"/>
              </w:rPr>
            </w:pPr>
          </w:p>
        </w:tc>
      </w:tr>
      <w:tr w14:paraId="79331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exact"/>
        </w:trPr>
        <w:tc>
          <w:tcPr>
            <w:tcW w:w="1556" w:type="dxa"/>
            <w:gridSpan w:val="2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662D4E4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传</w:t>
            </w:r>
          </w:p>
          <w:p w14:paraId="5BAF6837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播</w:t>
            </w:r>
          </w:p>
          <w:p w14:paraId="7E15AF94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数</w:t>
            </w:r>
          </w:p>
          <w:p w14:paraId="352E9C72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据</w:t>
            </w:r>
          </w:p>
        </w:tc>
        <w:tc>
          <w:tcPr>
            <w:tcW w:w="1563" w:type="dxa"/>
            <w:gridSpan w:val="2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018623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新媒体</w:t>
            </w:r>
            <w:r>
              <w:rPr>
                <w:rFonts w:hint="eastAsia" w:ascii="华文中宋" w:hAnsi="华文中宋" w:eastAsia="华文中宋"/>
              </w:rPr>
              <w:t>传播</w:t>
            </w:r>
          </w:p>
          <w:p w14:paraId="6E0CA560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平台网址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8F03A5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方正黑体简体"/>
              </w:rPr>
            </w:pPr>
            <w:r>
              <w:rPr>
                <w:rFonts w:ascii="Times New Roman" w:hAnsi="Times New Roman" w:eastAsia="方正黑体简体"/>
              </w:rPr>
              <w:t>1</w:t>
            </w:r>
          </w:p>
        </w:tc>
        <w:tc>
          <w:tcPr>
            <w:tcW w:w="6381" w:type="dxa"/>
            <w:gridSpan w:val="10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566A9006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18"/>
                <w:szCs w:val="18"/>
              </w:rPr>
            </w:pPr>
          </w:p>
        </w:tc>
      </w:tr>
      <w:tr w14:paraId="105E1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exact"/>
        </w:trPr>
        <w:tc>
          <w:tcPr>
            <w:tcW w:w="1556" w:type="dxa"/>
            <w:gridSpan w:val="2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2A700C1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</w:tcPr>
          <w:p w14:paraId="3642F369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BA7DE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方正黑体简体"/>
              </w:rPr>
            </w:pPr>
            <w:r>
              <w:rPr>
                <w:rFonts w:ascii="Times New Roman" w:hAnsi="Times New Roman" w:eastAsia="方正黑体简体"/>
              </w:rPr>
              <w:t>2</w:t>
            </w:r>
          </w:p>
        </w:tc>
        <w:tc>
          <w:tcPr>
            <w:tcW w:w="6381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CE5F7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</w:tr>
      <w:tr w14:paraId="02A8E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exact"/>
        </w:trPr>
        <w:tc>
          <w:tcPr>
            <w:tcW w:w="15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17E559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41549E8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97F60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方正黑体简体"/>
              </w:rPr>
            </w:pPr>
            <w:r>
              <w:rPr>
                <w:rFonts w:ascii="Times New Roman" w:hAnsi="Times New Roman" w:eastAsia="方正黑体简体"/>
              </w:rPr>
              <w:t>3</w:t>
            </w:r>
          </w:p>
        </w:tc>
        <w:tc>
          <w:tcPr>
            <w:tcW w:w="63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90996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仿宋"/>
                <w:sz w:val="32"/>
                <w:szCs w:val="21"/>
              </w:rPr>
            </w:pPr>
          </w:p>
        </w:tc>
      </w:tr>
      <w:tr w14:paraId="51A07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exact"/>
        </w:trPr>
        <w:tc>
          <w:tcPr>
            <w:tcW w:w="155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9DEAE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DC915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阅读量（浏览量、点击量）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F0313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749BE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转载量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9BEE5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仿宋"/>
                <w:sz w:val="32"/>
                <w:szCs w:val="21"/>
              </w:rPr>
            </w:pPr>
          </w:p>
        </w:tc>
        <w:tc>
          <w:tcPr>
            <w:tcW w:w="1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4E45B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互动量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0E311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</w:tr>
      <w:tr w14:paraId="65888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2" w:hRule="exact"/>
        </w:trPr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07F0F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bookmarkStart w:id="0" w:name="OLE_LINK1"/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推</w:t>
            </w:r>
          </w:p>
          <w:p w14:paraId="0BBA0EC9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荐</w:t>
            </w:r>
          </w:p>
          <w:p w14:paraId="24BB8629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理</w:t>
            </w:r>
          </w:p>
          <w:p w14:paraId="17BC3674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由</w:t>
            </w:r>
            <w:bookmarkEnd w:id="0"/>
          </w:p>
        </w:tc>
        <w:tc>
          <w:tcPr>
            <w:tcW w:w="86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15E70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22"/>
                <w:szCs w:val="20"/>
              </w:rPr>
            </w:pPr>
          </w:p>
          <w:p w14:paraId="28361815"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  <w:t>本文紧扣民生热点，以多元方式呈现普洱预付式消费现状。刊发当日恰逢最高院相关司法解释出台，实现基层与中央同频共振，提升群众维权意识，为市场监管提供参考，彰显新闻服务民生、引导社会的价值。同意推荐。</w:t>
            </w:r>
          </w:p>
          <w:p w14:paraId="4437C17C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仿宋"/>
                <w:sz w:val="32"/>
                <w:szCs w:val="21"/>
              </w:rPr>
            </w:pPr>
          </w:p>
          <w:p w14:paraId="0FADB88E">
            <w:pPr>
              <w:adjustRightInd w:val="0"/>
              <w:snapToGrid w:val="0"/>
              <w:spacing w:line="300" w:lineRule="exact"/>
              <w:contextualSpacing/>
              <w:rPr>
                <w:rFonts w:ascii="Times New Roman" w:hAnsi="Times New Roman" w:eastAsia="方正黑体简体" w:cs="方正黑体简体"/>
                <w:spacing w:val="-2"/>
                <w:sz w:val="28"/>
              </w:rPr>
            </w:pPr>
            <w:r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  <w:t>签名：</w:t>
            </w:r>
          </w:p>
          <w:p w14:paraId="7402CEBC">
            <w:pPr>
              <w:adjustRightInd w:val="0"/>
              <w:snapToGrid w:val="0"/>
              <w:spacing w:line="300" w:lineRule="exact"/>
              <w:ind w:firstLine="4589" w:firstLineChars="1663"/>
              <w:contextualSpacing/>
              <w:rPr>
                <w:rFonts w:ascii="Times New Roman" w:hAnsi="Times New Roman" w:eastAsia="方正黑体简体" w:cs="方正黑体简体"/>
                <w:spacing w:val="-2"/>
                <w:sz w:val="28"/>
              </w:rPr>
            </w:pPr>
            <w:r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  <w:t>（盖单位公章）</w:t>
            </w:r>
          </w:p>
          <w:p w14:paraId="06A80FBD">
            <w:pPr>
              <w:adjustRightInd w:val="0"/>
              <w:snapToGrid w:val="0"/>
              <w:spacing w:line="300" w:lineRule="exact"/>
              <w:ind w:firstLine="555"/>
              <w:contextualSpacing/>
              <w:jc w:val="right"/>
              <w:rPr>
                <w:rFonts w:ascii="Times New Roman" w:hAnsi="Times New Roman" w:eastAsia="方正黑体简体" w:cs="方正黑体简体"/>
                <w:spacing w:val="-2"/>
                <w:sz w:val="28"/>
              </w:rPr>
            </w:pPr>
          </w:p>
          <w:p w14:paraId="411264BA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="Times New Roman" w:hAnsi="Times New Roman" w:eastAsia="仿宋"/>
                <w:sz w:val="32"/>
                <w:szCs w:val="21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</w:rPr>
              <w:t xml:space="preserve">                 </w:t>
            </w:r>
            <w:r>
              <w:rPr>
                <w:rFonts w:hint="eastAsia" w:ascii="Times New Roman" w:hAnsi="Times New Roman" w:eastAsia="方正黑体简体" w:cs="方正黑体简体"/>
                <w:sz w:val="28"/>
                <w:lang w:val="en-US" w:eastAsia="zh-CN"/>
              </w:rPr>
              <w:t>2026</w:t>
            </w:r>
            <w:r>
              <w:rPr>
                <w:rFonts w:hint="eastAsia" w:ascii="Times New Roman" w:hAnsi="Times New Roman" w:eastAsia="方正黑体简体" w:cs="方正黑体简体"/>
                <w:sz w:val="28"/>
              </w:rPr>
              <w:t xml:space="preserve">  年 </w:t>
            </w:r>
            <w:r>
              <w:rPr>
                <w:rFonts w:hint="eastAsia" w:ascii="Times New Roman" w:hAnsi="Times New Roman" w:eastAsia="方正黑体简体" w:cs="方正黑体简体"/>
                <w:sz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黑体简体" w:cs="方正黑体简体"/>
                <w:sz w:val="28"/>
              </w:rPr>
              <w:t xml:space="preserve">  月 </w:t>
            </w:r>
            <w:r>
              <w:rPr>
                <w:rFonts w:hint="eastAsia" w:ascii="Times New Roman" w:hAnsi="Times New Roman" w:eastAsia="方正黑体简体" w:cs="方正黑体简体"/>
                <w:sz w:val="28"/>
                <w:lang w:val="en-US" w:eastAsia="zh-CN"/>
              </w:rPr>
              <w:t>2</w:t>
            </w:r>
            <w:bookmarkStart w:id="1" w:name="_GoBack"/>
            <w:bookmarkEnd w:id="1"/>
            <w:r>
              <w:rPr>
                <w:rFonts w:hint="eastAsia" w:ascii="Times New Roman" w:hAnsi="Times New Roman" w:eastAsia="方正黑体简体" w:cs="方正黑体简体"/>
                <w:sz w:val="28"/>
              </w:rPr>
              <w:t xml:space="preserve"> 日</w:t>
            </w:r>
          </w:p>
        </w:tc>
      </w:tr>
    </w:tbl>
    <w:p w14:paraId="5D1B8A23">
      <w:pPr>
        <w:adjustRightInd w:val="0"/>
        <w:snapToGrid w:val="0"/>
        <w:spacing w:after="100" w:afterAutospacing="1" w:line="540" w:lineRule="exact"/>
        <w:contextualSpacing/>
        <w:jc w:val="center"/>
        <w:rPr>
          <w:rFonts w:ascii="Times New Roman" w:hAnsi="Times New Roman" w:eastAsia="方正小标宋简体"/>
          <w:sz w:val="36"/>
          <w:szCs w:val="36"/>
        </w:rPr>
      </w:pPr>
    </w:p>
    <w:p w14:paraId="1E61555C">
      <w:pPr>
        <w:adjustRightInd w:val="0"/>
        <w:snapToGrid w:val="0"/>
        <w:spacing w:after="100" w:afterAutospacing="1" w:line="540" w:lineRule="exact"/>
        <w:contextualSpacing/>
        <w:jc w:val="center"/>
        <w:rPr>
          <w:rFonts w:ascii="Times New Roman" w:hAnsi="Times New Roman" w:eastAsia="方正小标宋简体"/>
          <w:sz w:val="36"/>
          <w:szCs w:val="36"/>
        </w:rPr>
      </w:pPr>
    </w:p>
    <w:p w14:paraId="652CFB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84"/>
    <w:rsid w:val="00392F99"/>
    <w:rsid w:val="00D16A84"/>
    <w:rsid w:val="00F12970"/>
    <w:rsid w:val="0E362232"/>
    <w:rsid w:val="12B52B74"/>
    <w:rsid w:val="191F5AB7"/>
    <w:rsid w:val="1EBA117D"/>
    <w:rsid w:val="26320C20"/>
    <w:rsid w:val="36754552"/>
    <w:rsid w:val="4A094344"/>
    <w:rsid w:val="57D60097"/>
    <w:rsid w:val="698E303F"/>
    <w:rsid w:val="6FAC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 w:cstheme="majorBidi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 w:cstheme="majorBidi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 w:cstheme="majorBid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 w:cstheme="majorBid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 w:cstheme="majorBid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 w:cstheme="majorBidi"/>
      <w:kern w:val="0"/>
      <w:sz w:val="24"/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 w:cstheme="majorBidi"/>
      <w:i/>
      <w:iCs/>
      <w:kern w:val="0"/>
      <w:sz w:val="24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 w:cstheme="majorBidi"/>
      <w:kern w:val="0"/>
      <w:sz w:val="22"/>
      <w:szCs w:val="2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8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Title"/>
    <w:basedOn w:val="1"/>
    <w:next w:val="1"/>
    <w:link w:val="27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Emphasis"/>
    <w:basedOn w:val="15"/>
    <w:qFormat/>
    <w:uiPriority w:val="20"/>
    <w:rPr>
      <w:rFonts w:asciiTheme="minorHAnsi" w:hAnsiTheme="minorHAnsi"/>
      <w:b/>
      <w:i/>
      <w:iCs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20">
    <w:name w:val="标题 3 Char"/>
    <w:basedOn w:val="15"/>
    <w:link w:val="4"/>
    <w:semiHidden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1">
    <w:name w:val="标题 4 Char"/>
    <w:basedOn w:val="15"/>
    <w:link w:val="5"/>
    <w:semiHidden/>
    <w:qFormat/>
    <w:uiPriority w:val="9"/>
    <w:rPr>
      <w:rFonts w:cstheme="majorBidi"/>
      <w:b/>
      <w:bCs/>
      <w:sz w:val="28"/>
      <w:szCs w:val="28"/>
    </w:rPr>
  </w:style>
  <w:style w:type="character" w:customStyle="1" w:styleId="22">
    <w:name w:val="标题 5 Char"/>
    <w:basedOn w:val="15"/>
    <w:link w:val="6"/>
    <w:semiHidden/>
    <w:qFormat/>
    <w:uiPriority w:val="9"/>
    <w:rPr>
      <w:rFonts w:cstheme="majorBidi"/>
      <w:b/>
      <w:bCs/>
      <w:i/>
      <w:iCs/>
      <w:sz w:val="26"/>
      <w:szCs w:val="26"/>
    </w:rPr>
  </w:style>
  <w:style w:type="character" w:customStyle="1" w:styleId="23">
    <w:name w:val="标题 6 Char"/>
    <w:basedOn w:val="15"/>
    <w:link w:val="7"/>
    <w:semiHidden/>
    <w:qFormat/>
    <w:uiPriority w:val="9"/>
    <w:rPr>
      <w:rFonts w:cstheme="majorBidi"/>
      <w:b/>
      <w:bCs/>
    </w:rPr>
  </w:style>
  <w:style w:type="character" w:customStyle="1" w:styleId="24">
    <w:name w:val="标题 7 Char"/>
    <w:basedOn w:val="15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25">
    <w:name w:val="标题 8 Char"/>
    <w:basedOn w:val="15"/>
    <w:link w:val="9"/>
    <w:semiHidden/>
    <w:qFormat/>
    <w:uiPriority w:val="9"/>
    <w:rPr>
      <w:rFonts w:cstheme="majorBidi"/>
      <w:i/>
      <w:iCs/>
      <w:sz w:val="24"/>
      <w:szCs w:val="24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28">
    <w:name w:val="副标题 Char"/>
    <w:basedOn w:val="15"/>
    <w:link w:val="11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29">
    <w:name w:val="No Spacing"/>
    <w:basedOn w:val="1"/>
    <w:link w:val="30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</w:rPr>
  </w:style>
  <w:style w:type="character" w:customStyle="1" w:styleId="30">
    <w:name w:val="无间隔 Char"/>
    <w:basedOn w:val="15"/>
    <w:link w:val="29"/>
    <w:qFormat/>
    <w:uiPriority w:val="1"/>
    <w:rPr>
      <w:sz w:val="24"/>
      <w:szCs w:val="32"/>
    </w:rPr>
  </w:style>
  <w:style w:type="paragraph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</w:rPr>
  </w:style>
  <w:style w:type="paragraph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 w:cstheme="majorBidi"/>
      <w:i/>
      <w:kern w:val="0"/>
      <w:sz w:val="24"/>
    </w:rPr>
  </w:style>
  <w:style w:type="character" w:customStyle="1" w:styleId="33">
    <w:name w:val="引用 Char"/>
    <w:basedOn w:val="15"/>
    <w:link w:val="32"/>
    <w:qFormat/>
    <w:uiPriority w:val="29"/>
    <w:rPr>
      <w:rFonts w:cstheme="majorBidi"/>
      <w:i/>
      <w:sz w:val="24"/>
      <w:szCs w:val="24"/>
    </w:rPr>
  </w:style>
  <w:style w:type="paragraph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 w:cstheme="majorBidi"/>
      <w:b/>
      <w:i/>
      <w:kern w:val="0"/>
      <w:sz w:val="24"/>
      <w:szCs w:val="22"/>
    </w:rPr>
  </w:style>
  <w:style w:type="character" w:customStyle="1" w:styleId="35">
    <w:name w:val="明显引用 Char"/>
    <w:basedOn w:val="15"/>
    <w:link w:val="34"/>
    <w:qFormat/>
    <w:uiPriority w:val="30"/>
    <w:rPr>
      <w:rFonts w:cstheme="majorBidi"/>
      <w:b/>
      <w:i/>
      <w:sz w:val="24"/>
    </w:rPr>
  </w:style>
  <w:style w:type="character" w:customStyle="1" w:styleId="36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7">
    <w:name w:val="Intense Emphasis"/>
    <w:basedOn w:val="15"/>
    <w:qFormat/>
    <w:uiPriority w:val="21"/>
    <w:rPr>
      <w:b/>
      <w:i/>
      <w:sz w:val="24"/>
      <w:szCs w:val="24"/>
      <w:u w:val="single"/>
    </w:rPr>
  </w:style>
  <w:style w:type="character" w:customStyle="1" w:styleId="38">
    <w:name w:val="Subtle Reference"/>
    <w:basedOn w:val="15"/>
    <w:qFormat/>
    <w:uiPriority w:val="31"/>
    <w:rPr>
      <w:sz w:val="24"/>
      <w:szCs w:val="24"/>
      <w:u w:val="single"/>
    </w:rPr>
  </w:style>
  <w:style w:type="character" w:customStyle="1" w:styleId="39">
    <w:name w:val="Intense Reference"/>
    <w:basedOn w:val="15"/>
    <w:qFormat/>
    <w:uiPriority w:val="32"/>
    <w:rPr>
      <w:b/>
      <w:sz w:val="24"/>
      <w:u w:val="single"/>
    </w:rPr>
  </w:style>
  <w:style w:type="character" w:customStyle="1" w:styleId="40">
    <w:name w:val="Book Title"/>
    <w:basedOn w:val="15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888</Words>
  <Characters>896</Characters>
  <Lines>28</Lines>
  <Paragraphs>8</Paragraphs>
  <TotalTime>2</TotalTime>
  <ScaleCrop>false</ScaleCrop>
  <LinksUpToDate>false</LinksUpToDate>
  <CharactersWithSpaces>923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2026-01-08T07:32:00Z</dcterms:created>
  <dc:creator>Administrator</dc:creator>
  <cp:lastModifiedBy>董董</cp:lastModifiedBy>
  <dcterms:modified xsi:type="dcterms:W3CDTF">2026-02-06T09:32:25Z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eyJoZGlkIjoiYWIzN2NlZGRlY2RhYmMxN2FmNmIzMzQ2OGE5YTk3ZDEiLCJ1c2VySWQiOiI3Mjg0ODI1ODUifQ==</vt:lpwstr>
  </property>
  <property fmtid="{D5CDD505-2E9C-101B-9397-08002B2CF9AE}" pid="3" name="KSOProductBuildVer">
    <vt:lpwstr>2052-12.1.0.24034</vt:lpwstr>
  </property>
  <property fmtid="{D5CDD505-2E9C-101B-9397-08002B2CF9AE}" pid="4" name="ICV">
    <vt:lpwstr>BF98ABC724EA49319D3830DF97DFCF3B_13</vt:lpwstr>
  </property>
</Properties>
</file>